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78CE4CBF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B03108">
        <w:rPr>
          <w:rFonts w:ascii="Arial" w:hAnsi="Arial" w:cs="Arial"/>
          <w:b/>
          <w:sz w:val="24"/>
          <w:szCs w:val="24"/>
        </w:rPr>
        <w:t>29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152FDC" w14:textId="66E2B872" w:rsidR="000F716B" w:rsidRPr="002E074A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2E074A" w:rsidRPr="002E074A">
        <w:rPr>
          <w:rFonts w:ascii="Arial" w:hAnsi="Arial" w:cs="Arial"/>
          <w:color w:val="000000"/>
          <w:sz w:val="24"/>
          <w:szCs w:val="24"/>
        </w:rPr>
        <w:t>XV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F71B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29</w:t>
      </w:r>
      <w:r w:rsidR="00EF2EC7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</w:t>
      </w:r>
      <w:r w:rsidR="002E074A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8019E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2E074A" w:rsidRPr="002E074A">
        <w:rPr>
          <w:rFonts w:ascii="Arial" w:hAnsi="Arial" w:cs="Arial"/>
          <w:sz w:val="24"/>
          <w:szCs w:val="24"/>
        </w:rPr>
        <w:t xml:space="preserve"> </w:t>
      </w:r>
      <w:bookmarkStart w:id="0" w:name="_Hlk111467585"/>
      <w:r w:rsidR="00B03108" w:rsidRPr="00E70015">
        <w:rPr>
          <w:rFonts w:ascii="Arial" w:hAnsi="Arial" w:cs="Arial"/>
          <w:b/>
          <w:bCs/>
          <w:sz w:val="24"/>
          <w:szCs w:val="24"/>
        </w:rPr>
        <w:t>ALFA COMÉRCIO DE EQUIPAMENTOS LTDA</w:t>
      </w:r>
      <w:bookmarkEnd w:id="0"/>
      <w:r w:rsidR="00B03108" w:rsidRPr="00F9799E">
        <w:rPr>
          <w:rFonts w:ascii="Arial" w:hAnsi="Arial" w:cs="Arial"/>
          <w:b/>
          <w:bCs/>
          <w:sz w:val="24"/>
          <w:szCs w:val="24"/>
        </w:rPr>
        <w:t xml:space="preserve">, </w:t>
      </w:r>
      <w:r w:rsidR="00B03108" w:rsidRPr="00F9799E">
        <w:rPr>
          <w:rFonts w:ascii="Arial" w:hAnsi="Arial" w:cs="Arial"/>
          <w:sz w:val="24"/>
          <w:szCs w:val="24"/>
        </w:rPr>
        <w:t xml:space="preserve">inscrita no </w:t>
      </w:r>
      <w:r w:rsidR="00B03108" w:rsidRPr="00F9799E">
        <w:rPr>
          <w:rFonts w:ascii="Arial" w:hAnsi="Arial" w:cs="Arial"/>
          <w:b/>
          <w:bCs/>
          <w:sz w:val="24"/>
          <w:szCs w:val="24"/>
        </w:rPr>
        <w:t xml:space="preserve">CNPJ sob nº </w:t>
      </w:r>
      <w:r w:rsidR="00B03108">
        <w:rPr>
          <w:rFonts w:ascii="Arial" w:hAnsi="Arial" w:cs="Arial"/>
          <w:b/>
          <w:bCs/>
          <w:sz w:val="24"/>
          <w:szCs w:val="24"/>
        </w:rPr>
        <w:t>13.731.784/0004-12</w:t>
      </w:r>
      <w:r w:rsidR="00B0310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1" w:name="_Hlk111467644"/>
      <w:bookmarkStart w:id="2" w:name="_Hlk111467810"/>
      <w:r w:rsidR="00B03108" w:rsidRPr="00036A4B">
        <w:rPr>
          <w:rFonts w:ascii="Arial" w:hAnsi="Arial" w:cs="Arial"/>
          <w:bCs/>
          <w:sz w:val="24"/>
          <w:szCs w:val="24"/>
        </w:rPr>
        <w:t xml:space="preserve">contratação de empresa especializada para </w:t>
      </w:r>
      <w:bookmarkStart w:id="3" w:name="_Hlk111467601"/>
      <w:r w:rsidR="00B03108" w:rsidRPr="00036A4B">
        <w:rPr>
          <w:rFonts w:ascii="Arial" w:hAnsi="Arial" w:cs="Arial"/>
          <w:bCs/>
          <w:sz w:val="24"/>
          <w:szCs w:val="24"/>
        </w:rPr>
        <w:t>prestação de serviços com fornecimento de peças para revisão</w:t>
      </w:r>
      <w:r w:rsidR="00B03108">
        <w:rPr>
          <w:rFonts w:ascii="Arial" w:hAnsi="Arial" w:cs="Arial"/>
          <w:bCs/>
          <w:sz w:val="24"/>
          <w:szCs w:val="24"/>
        </w:rPr>
        <w:t xml:space="preserve"> de 750 horas</w:t>
      </w:r>
      <w:r w:rsidR="00B03108" w:rsidRPr="00036A4B">
        <w:rPr>
          <w:rFonts w:ascii="Arial" w:hAnsi="Arial" w:cs="Arial"/>
          <w:bCs/>
          <w:sz w:val="24"/>
          <w:szCs w:val="24"/>
        </w:rPr>
        <w:t xml:space="preserve"> de máquina pesada (escavadeira hidráulica) dentro do período de garantia para atender as necessidades da secretaria municipal de obras, mobilidade e serviços urbanos de Marcelândia/</w:t>
      </w:r>
      <w:r w:rsidR="00B03108">
        <w:rPr>
          <w:rFonts w:ascii="Arial" w:hAnsi="Arial" w:cs="Arial"/>
          <w:bCs/>
          <w:sz w:val="24"/>
          <w:szCs w:val="24"/>
        </w:rPr>
        <w:t>MT</w:t>
      </w:r>
      <w:bookmarkEnd w:id="1"/>
      <w:bookmarkEnd w:id="2"/>
      <w:bookmarkEnd w:id="3"/>
      <w:r w:rsidR="00B03108" w:rsidRPr="00F9799E">
        <w:rPr>
          <w:rFonts w:ascii="Arial" w:hAnsi="Arial" w:cs="Arial"/>
          <w:bCs/>
          <w:sz w:val="24"/>
          <w:szCs w:val="24"/>
        </w:rPr>
        <w:t>, p</w:t>
      </w:r>
      <w:r w:rsidR="00B0310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B03108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B03108" w:rsidRPr="00F9799E">
        <w:rPr>
          <w:rFonts w:ascii="Arial" w:hAnsi="Arial" w:cs="Arial"/>
          <w:sz w:val="24"/>
          <w:szCs w:val="24"/>
        </w:rPr>
        <w:t xml:space="preserve">total de </w:t>
      </w:r>
      <w:bookmarkStart w:id="4" w:name="_Hlk111467715"/>
      <w:r w:rsidR="00B03108" w:rsidRPr="00505F2F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B03108">
        <w:rPr>
          <w:rFonts w:ascii="Arial" w:hAnsi="Arial" w:cs="Arial"/>
          <w:b/>
          <w:bCs/>
          <w:color w:val="000000"/>
          <w:sz w:val="24"/>
          <w:szCs w:val="24"/>
        </w:rPr>
        <w:t>10.083,90</w:t>
      </w:r>
      <w:r w:rsidR="00B03108" w:rsidRPr="00505F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03108" w:rsidRPr="00F01371">
        <w:rPr>
          <w:rFonts w:ascii="Arial" w:hAnsi="Arial" w:cs="Arial"/>
          <w:b/>
          <w:color w:val="000000"/>
          <w:sz w:val="24"/>
          <w:szCs w:val="24"/>
        </w:rPr>
        <w:t>(</w:t>
      </w:r>
      <w:r w:rsidR="00B03108">
        <w:rPr>
          <w:rFonts w:ascii="Arial" w:hAnsi="Arial" w:cs="Arial"/>
          <w:b/>
          <w:color w:val="000000"/>
          <w:sz w:val="24"/>
          <w:szCs w:val="24"/>
        </w:rPr>
        <w:t>dez mil, oitenta e três reais com noventa centavos</w:t>
      </w:r>
      <w:r w:rsidR="00B03108" w:rsidRPr="00F01371">
        <w:rPr>
          <w:rFonts w:ascii="Arial" w:hAnsi="Arial" w:cs="Arial"/>
          <w:b/>
          <w:color w:val="000000"/>
          <w:sz w:val="24"/>
          <w:szCs w:val="24"/>
        </w:rPr>
        <w:t>)</w:t>
      </w:r>
      <w:bookmarkEnd w:id="4"/>
      <w:r w:rsidR="00B03108">
        <w:rPr>
          <w:rFonts w:ascii="Arial" w:hAnsi="Arial" w:cs="Arial"/>
          <w:color w:val="000000"/>
          <w:sz w:val="24"/>
          <w:szCs w:val="24"/>
        </w:rPr>
        <w:t>.</w:t>
      </w:r>
    </w:p>
    <w:p w14:paraId="5A4E4CC0" w14:textId="77777777" w:rsidR="002E074A" w:rsidRPr="002E074A" w:rsidRDefault="002E074A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4A3402F8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2E074A">
        <w:rPr>
          <w:rFonts w:ascii="Arial" w:hAnsi="Arial" w:cs="Arial"/>
          <w:sz w:val="24"/>
          <w:szCs w:val="24"/>
        </w:rPr>
        <w:t xml:space="preserve">Marcelândia/MT, </w:t>
      </w:r>
      <w:r w:rsidR="00CD1642">
        <w:rPr>
          <w:rFonts w:ascii="Arial" w:hAnsi="Arial" w:cs="Arial"/>
          <w:sz w:val="24"/>
          <w:szCs w:val="24"/>
        </w:rPr>
        <w:t>17</w:t>
      </w:r>
      <w:r w:rsidR="00B03108">
        <w:rPr>
          <w:rFonts w:ascii="Arial" w:hAnsi="Arial" w:cs="Arial"/>
          <w:sz w:val="24"/>
          <w:szCs w:val="24"/>
        </w:rPr>
        <w:t xml:space="preserve"> de agosto</w:t>
      </w:r>
      <w:r w:rsidR="002E074A">
        <w:rPr>
          <w:rFonts w:ascii="Arial" w:hAnsi="Arial" w:cs="Arial"/>
          <w:sz w:val="24"/>
          <w:szCs w:val="24"/>
        </w:rPr>
        <w:t xml:space="preserve"> de 2022</w:t>
      </w:r>
      <w:r w:rsidR="004F1EFF" w:rsidRPr="002E074A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CD1642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2237151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128229">
    <w:abstractNumId w:val="10"/>
  </w:num>
  <w:num w:numId="2" w16cid:durableId="170342223">
    <w:abstractNumId w:val="48"/>
  </w:num>
  <w:num w:numId="3" w16cid:durableId="751436001">
    <w:abstractNumId w:val="30"/>
  </w:num>
  <w:num w:numId="4" w16cid:durableId="1254242344">
    <w:abstractNumId w:val="0"/>
  </w:num>
  <w:num w:numId="5" w16cid:durableId="243228903">
    <w:abstractNumId w:val="44"/>
  </w:num>
  <w:num w:numId="6" w16cid:durableId="404450181">
    <w:abstractNumId w:val="9"/>
  </w:num>
  <w:num w:numId="7" w16cid:durableId="202326669">
    <w:abstractNumId w:val="49"/>
  </w:num>
  <w:num w:numId="8" w16cid:durableId="1503203679">
    <w:abstractNumId w:val="26"/>
  </w:num>
  <w:num w:numId="9" w16cid:durableId="1455640809">
    <w:abstractNumId w:val="6"/>
  </w:num>
  <w:num w:numId="10" w16cid:durableId="1876885695">
    <w:abstractNumId w:val="16"/>
  </w:num>
  <w:num w:numId="11" w16cid:durableId="208150732">
    <w:abstractNumId w:val="1"/>
  </w:num>
  <w:num w:numId="12" w16cid:durableId="734086650">
    <w:abstractNumId w:val="20"/>
  </w:num>
  <w:num w:numId="13" w16cid:durableId="1136947160">
    <w:abstractNumId w:val="33"/>
  </w:num>
  <w:num w:numId="14" w16cid:durableId="221064800">
    <w:abstractNumId w:val="25"/>
  </w:num>
  <w:num w:numId="15" w16cid:durableId="1127823026">
    <w:abstractNumId w:val="40"/>
  </w:num>
  <w:num w:numId="16" w16cid:durableId="738864370">
    <w:abstractNumId w:val="14"/>
  </w:num>
  <w:num w:numId="17" w16cid:durableId="2035305531">
    <w:abstractNumId w:val="46"/>
  </w:num>
  <w:num w:numId="18" w16cid:durableId="552234728">
    <w:abstractNumId w:val="19"/>
  </w:num>
  <w:num w:numId="19" w16cid:durableId="1468038903">
    <w:abstractNumId w:val="3"/>
  </w:num>
  <w:num w:numId="20" w16cid:durableId="1603565736">
    <w:abstractNumId w:val="13"/>
  </w:num>
  <w:num w:numId="21" w16cid:durableId="795948306">
    <w:abstractNumId w:val="11"/>
  </w:num>
  <w:num w:numId="22" w16cid:durableId="2118330768">
    <w:abstractNumId w:val="8"/>
  </w:num>
  <w:num w:numId="23" w16cid:durableId="1978607967">
    <w:abstractNumId w:val="2"/>
  </w:num>
  <w:num w:numId="24" w16cid:durableId="1524594047">
    <w:abstractNumId w:val="24"/>
  </w:num>
  <w:num w:numId="25" w16cid:durableId="1001084146">
    <w:abstractNumId w:val="28"/>
  </w:num>
  <w:num w:numId="26" w16cid:durableId="1129513832">
    <w:abstractNumId w:val="12"/>
  </w:num>
  <w:num w:numId="27" w16cid:durableId="1682001654">
    <w:abstractNumId w:val="18"/>
  </w:num>
  <w:num w:numId="28" w16cid:durableId="525992613">
    <w:abstractNumId w:val="22"/>
  </w:num>
  <w:num w:numId="29" w16cid:durableId="834340272">
    <w:abstractNumId w:val="15"/>
  </w:num>
  <w:num w:numId="30" w16cid:durableId="1599092782">
    <w:abstractNumId w:val="21"/>
  </w:num>
  <w:num w:numId="31" w16cid:durableId="1761875315">
    <w:abstractNumId w:val="42"/>
  </w:num>
  <w:num w:numId="32" w16cid:durableId="363597738">
    <w:abstractNumId w:val="37"/>
  </w:num>
  <w:num w:numId="33" w16cid:durableId="679160372">
    <w:abstractNumId w:val="47"/>
  </w:num>
  <w:num w:numId="34" w16cid:durableId="2084791994">
    <w:abstractNumId w:val="31"/>
  </w:num>
  <w:num w:numId="35" w16cid:durableId="1789007445">
    <w:abstractNumId w:val="34"/>
  </w:num>
  <w:num w:numId="36" w16cid:durableId="209658117">
    <w:abstractNumId w:val="32"/>
  </w:num>
  <w:num w:numId="37" w16cid:durableId="547500464">
    <w:abstractNumId w:val="45"/>
  </w:num>
  <w:num w:numId="38" w16cid:durableId="2018656278">
    <w:abstractNumId w:val="5"/>
  </w:num>
  <w:num w:numId="39" w16cid:durableId="1162622872">
    <w:abstractNumId w:val="38"/>
  </w:num>
  <w:num w:numId="40" w16cid:durableId="1190069608">
    <w:abstractNumId w:val="39"/>
  </w:num>
  <w:num w:numId="41" w16cid:durableId="383676742">
    <w:abstractNumId w:val="23"/>
  </w:num>
  <w:num w:numId="42" w16cid:durableId="1877311413">
    <w:abstractNumId w:val="4"/>
  </w:num>
  <w:num w:numId="43" w16cid:durableId="1623344131">
    <w:abstractNumId w:val="29"/>
  </w:num>
  <w:num w:numId="44" w16cid:durableId="1920283542">
    <w:abstractNumId w:val="43"/>
  </w:num>
  <w:num w:numId="45" w16cid:durableId="349454821">
    <w:abstractNumId w:val="7"/>
  </w:num>
  <w:num w:numId="46" w16cid:durableId="1531451533">
    <w:abstractNumId w:val="35"/>
  </w:num>
  <w:num w:numId="47" w16cid:durableId="1197502313">
    <w:abstractNumId w:val="27"/>
  </w:num>
  <w:num w:numId="48" w16cid:durableId="1625884015">
    <w:abstractNumId w:val="41"/>
  </w:num>
  <w:num w:numId="49" w16cid:durableId="1369992023">
    <w:abstractNumId w:val="36"/>
  </w:num>
  <w:num w:numId="50" w16cid:durableId="48146006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0E09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3108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1642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1BB0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23CE-0A24-4012-B1C3-5E70CC62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8</cp:revision>
  <cp:lastPrinted>2022-08-17T14:25:00Z</cp:lastPrinted>
  <dcterms:created xsi:type="dcterms:W3CDTF">2021-09-20T19:29:00Z</dcterms:created>
  <dcterms:modified xsi:type="dcterms:W3CDTF">2022-08-17T14:26:00Z</dcterms:modified>
</cp:coreProperties>
</file>